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3A28" w14:textId="14528417" w:rsidR="00F5270E" w:rsidRDefault="003B2969" w:rsidP="001F6191">
      <w:pPr>
        <w:pStyle w:val="NormalWeb"/>
        <w:spacing w:after="0" w:afterAutospacing="0"/>
        <w:rPr>
          <w:rFonts w:ascii="Calibri" w:hAnsi="Calibri" w:cs="Calibri"/>
          <w:b/>
          <w:bCs/>
          <w:sz w:val="32"/>
          <w:szCs w:val="32"/>
        </w:rPr>
      </w:pPr>
      <w:proofErr w:type="spellStart"/>
      <w:r>
        <w:rPr>
          <w:rFonts w:ascii="Calibri" w:hAnsi="Calibri" w:cs="Calibri"/>
          <w:b/>
          <w:bCs/>
          <w:i/>
          <w:iCs/>
          <w:sz w:val="32"/>
          <w:szCs w:val="32"/>
        </w:rPr>
        <w:t>Clostri</w:t>
      </w:r>
      <w:r w:rsidR="00FE0116">
        <w:rPr>
          <w:rFonts w:ascii="Calibri" w:hAnsi="Calibri" w:cs="Calibri"/>
          <w:b/>
          <w:bCs/>
          <w:i/>
          <w:iCs/>
          <w:sz w:val="32"/>
          <w:szCs w:val="32"/>
        </w:rPr>
        <w:t>di</w:t>
      </w:r>
      <w:r>
        <w:rPr>
          <w:rFonts w:ascii="Calibri" w:hAnsi="Calibri" w:cs="Calibri"/>
          <w:b/>
          <w:bCs/>
          <w:i/>
          <w:iCs/>
          <w:sz w:val="32"/>
          <w:szCs w:val="32"/>
        </w:rPr>
        <w:t>oides</w:t>
      </w:r>
      <w:proofErr w:type="spellEnd"/>
      <w:r>
        <w:rPr>
          <w:rFonts w:ascii="Calibri" w:hAnsi="Calibri" w:cs="Calibri"/>
          <w:b/>
          <w:bCs/>
          <w:i/>
          <w:iCs/>
          <w:sz w:val="32"/>
          <w:szCs w:val="32"/>
        </w:rPr>
        <w:t xml:space="preserve"> </w:t>
      </w:r>
      <w:r w:rsidR="00FE0116">
        <w:rPr>
          <w:rFonts w:ascii="Calibri" w:hAnsi="Calibri" w:cs="Calibri"/>
          <w:b/>
          <w:bCs/>
          <w:i/>
          <w:iCs/>
          <w:sz w:val="32"/>
          <w:szCs w:val="32"/>
        </w:rPr>
        <w:t xml:space="preserve">difficile </w:t>
      </w:r>
      <w:r w:rsidR="0092788B">
        <w:rPr>
          <w:rFonts w:ascii="Calibri" w:hAnsi="Calibri" w:cs="Calibri"/>
          <w:b/>
          <w:bCs/>
          <w:sz w:val="32"/>
          <w:szCs w:val="32"/>
        </w:rPr>
        <w:t>Infection</w:t>
      </w:r>
      <w:r w:rsidR="00F5270E">
        <w:rPr>
          <w:rFonts w:ascii="Calibri" w:hAnsi="Calibri" w:cs="Calibri"/>
          <w:b/>
          <w:bCs/>
          <w:sz w:val="32"/>
          <w:szCs w:val="32"/>
        </w:rPr>
        <w:t xml:space="preserve"> </w:t>
      </w:r>
      <w:r w:rsidR="005D12A3">
        <w:rPr>
          <w:rFonts w:ascii="Calibri" w:hAnsi="Calibri" w:cs="Calibri"/>
          <w:b/>
          <w:bCs/>
          <w:sz w:val="32"/>
          <w:szCs w:val="32"/>
        </w:rPr>
        <w:t>(CDI) TIP Sheet</w:t>
      </w:r>
      <w:r w:rsidR="00036D76">
        <w:rPr>
          <w:rFonts w:ascii="Calibri" w:hAnsi="Calibri" w:cs="Calibri"/>
          <w:b/>
          <w:bCs/>
          <w:sz w:val="32"/>
          <w:szCs w:val="32"/>
        </w:rPr>
        <w:t>, Children’s Healthcare of Atlanta</w:t>
      </w:r>
    </w:p>
    <w:p w14:paraId="2A8CB1E2" w14:textId="7F95FECF" w:rsidR="00F5270E" w:rsidRDefault="00F5270E" w:rsidP="001F6191">
      <w:pPr>
        <w:pStyle w:val="NormalWeb"/>
        <w:spacing w:after="0" w:afterAutospacing="0"/>
      </w:pPr>
      <w:r>
        <w:rPr>
          <w:rFonts w:ascii="Calibri" w:hAnsi="Calibri" w:cs="Calibri"/>
          <w:b/>
          <w:bCs/>
          <w:i/>
          <w:iCs/>
        </w:rPr>
        <w:t xml:space="preserve">C. </w:t>
      </w:r>
      <w:r w:rsidR="005D12A3">
        <w:rPr>
          <w:rFonts w:ascii="Calibri" w:hAnsi="Calibri" w:cs="Calibri"/>
          <w:b/>
          <w:bCs/>
          <w:i/>
          <w:iCs/>
        </w:rPr>
        <w:t>difficile infection background</w:t>
      </w:r>
    </w:p>
    <w:p w14:paraId="1A6A4755" w14:textId="33C0171B" w:rsidR="00F5270E" w:rsidRPr="001F6191" w:rsidRDefault="00F5270E" w:rsidP="001F6191">
      <w:pPr>
        <w:pStyle w:val="NormalWeb"/>
        <w:numPr>
          <w:ilvl w:val="0"/>
          <w:numId w:val="2"/>
        </w:numPr>
        <w:spacing w:after="0" w:afterAutospacing="0"/>
        <w:rPr>
          <w:color w:val="000000" w:themeColor="text1"/>
        </w:rPr>
      </w:pPr>
      <w:r>
        <w:rPr>
          <w:rFonts w:ascii="Calibri" w:hAnsi="Calibri" w:cs="Calibri"/>
          <w:i/>
          <w:iCs/>
        </w:rPr>
        <w:t xml:space="preserve">C. </w:t>
      </w:r>
      <w:r w:rsidRPr="001F6191">
        <w:rPr>
          <w:rFonts w:ascii="Calibri" w:hAnsi="Calibri" w:cs="Calibri"/>
          <w:i/>
          <w:iCs/>
          <w:color w:val="000000" w:themeColor="text1"/>
        </w:rPr>
        <w:t xml:space="preserve">difficile </w:t>
      </w:r>
      <w:r w:rsidRPr="001F6191">
        <w:rPr>
          <w:rFonts w:ascii="Calibri" w:hAnsi="Calibri" w:cs="Calibri"/>
          <w:color w:val="000000" w:themeColor="text1"/>
        </w:rPr>
        <w:t xml:space="preserve">infection (CDI) is caused by toxins released from the bacteria, typically during periods of </w:t>
      </w:r>
      <w:r w:rsidRPr="001F6191">
        <w:rPr>
          <w:rFonts w:ascii="Calibri" w:hAnsi="Calibri" w:cs="Calibri"/>
          <w:i/>
          <w:iCs/>
          <w:color w:val="000000" w:themeColor="text1"/>
        </w:rPr>
        <w:t xml:space="preserve">C. difficile </w:t>
      </w:r>
      <w:r w:rsidRPr="001F6191">
        <w:rPr>
          <w:rFonts w:ascii="Calibri" w:hAnsi="Calibri" w:cs="Calibri"/>
          <w:color w:val="000000" w:themeColor="text1"/>
        </w:rPr>
        <w:t xml:space="preserve">overgrowth after exposure to antibiotics. </w:t>
      </w:r>
    </w:p>
    <w:p w14:paraId="6B433867" w14:textId="1BF12B05" w:rsidR="000A6AC3" w:rsidRPr="001F6191" w:rsidRDefault="000A6AC3" w:rsidP="001F6191">
      <w:pPr>
        <w:pStyle w:val="NormalWeb"/>
        <w:numPr>
          <w:ilvl w:val="0"/>
          <w:numId w:val="2"/>
        </w:numPr>
        <w:spacing w:after="0" w:afterAutospacing="0"/>
        <w:rPr>
          <w:rFonts w:asciiTheme="minorHAnsi" w:hAnsiTheme="minorHAnsi" w:cstheme="minorHAnsi"/>
          <w:color w:val="000000" w:themeColor="text1"/>
        </w:rPr>
      </w:pPr>
      <w:r w:rsidRPr="001F6191">
        <w:rPr>
          <w:rFonts w:asciiTheme="minorHAnsi" w:hAnsiTheme="minorHAnsi" w:cstheme="minorHAnsi"/>
          <w:color w:val="000000" w:themeColor="text1"/>
        </w:rPr>
        <w:t xml:space="preserve">Any perturbation of intestinal flora – a gastrointestinal infection, chemotherapy, radiation, reduced gut motility, may result in diarrhea </w:t>
      </w:r>
      <w:r w:rsidR="001A5490" w:rsidRPr="001F6191">
        <w:rPr>
          <w:rFonts w:asciiTheme="minorHAnsi" w:hAnsiTheme="minorHAnsi" w:cstheme="minorHAnsi"/>
          <w:color w:val="000000" w:themeColor="text1"/>
        </w:rPr>
        <w:t xml:space="preserve">(defined was 3 or more unformed stools above baseline stooling pattern in a 24-hour period) </w:t>
      </w:r>
      <w:r w:rsidRPr="001F6191">
        <w:rPr>
          <w:rFonts w:asciiTheme="minorHAnsi" w:hAnsiTheme="minorHAnsi" w:cstheme="minorHAnsi"/>
          <w:color w:val="000000" w:themeColor="text1"/>
        </w:rPr>
        <w:t xml:space="preserve">and contribute to </w:t>
      </w:r>
      <w:r w:rsidRPr="001F6191">
        <w:rPr>
          <w:rFonts w:asciiTheme="minorHAnsi" w:hAnsiTheme="minorHAnsi" w:cstheme="minorHAnsi"/>
          <w:i/>
          <w:iCs/>
          <w:color w:val="000000" w:themeColor="text1"/>
        </w:rPr>
        <w:t>C. difficile</w:t>
      </w:r>
      <w:r w:rsidRPr="001F6191">
        <w:rPr>
          <w:rFonts w:asciiTheme="minorHAnsi" w:hAnsiTheme="minorHAnsi" w:cstheme="minorHAnsi"/>
          <w:color w:val="000000" w:themeColor="text1"/>
        </w:rPr>
        <w:t xml:space="preserve"> toxin production.</w:t>
      </w:r>
    </w:p>
    <w:p w14:paraId="2DBE002F" w14:textId="02F9F1C7" w:rsidR="00F5270E" w:rsidRPr="001F6191" w:rsidRDefault="0092788B" w:rsidP="001F6191">
      <w:pPr>
        <w:pStyle w:val="NormalWeb"/>
        <w:numPr>
          <w:ilvl w:val="0"/>
          <w:numId w:val="2"/>
        </w:numPr>
        <w:spacing w:after="0" w:afterAutospacing="0"/>
        <w:rPr>
          <w:color w:val="000000" w:themeColor="text1"/>
        </w:rPr>
      </w:pPr>
      <w:r w:rsidRPr="001F6191">
        <w:rPr>
          <w:rFonts w:ascii="Calibri" w:hAnsi="Calibri" w:cs="Calibri"/>
          <w:color w:val="000000" w:themeColor="text1"/>
        </w:rPr>
        <w:t>Children’s Healthcare of Atlanta microbiology laboratory</w:t>
      </w:r>
      <w:r w:rsidR="00F5270E" w:rsidRPr="001F6191">
        <w:rPr>
          <w:rFonts w:ascii="Calibri" w:hAnsi="Calibri" w:cs="Calibri"/>
          <w:color w:val="000000" w:themeColor="text1"/>
        </w:rPr>
        <w:t xml:space="preserve"> currently uses the Cepheid </w:t>
      </w:r>
      <w:proofErr w:type="spellStart"/>
      <w:r w:rsidR="00F5270E" w:rsidRPr="001F6191">
        <w:rPr>
          <w:rFonts w:ascii="Calibri" w:hAnsi="Calibri" w:cs="Calibri"/>
          <w:color w:val="000000" w:themeColor="text1"/>
        </w:rPr>
        <w:t>Xpert</w:t>
      </w:r>
      <w:proofErr w:type="spellEnd"/>
      <w:r w:rsidR="00F5270E" w:rsidRPr="001F6191">
        <w:rPr>
          <w:rFonts w:ascii="Calibri" w:hAnsi="Calibri" w:cs="Calibri"/>
          <w:color w:val="000000" w:themeColor="text1"/>
        </w:rPr>
        <w:t xml:space="preserve"> toxin B gene PCR assay. This highly sensitive assay detects the presence of a strain of </w:t>
      </w:r>
      <w:r w:rsidR="00F5270E" w:rsidRPr="001F6191">
        <w:rPr>
          <w:rFonts w:ascii="Calibri" w:hAnsi="Calibri" w:cs="Calibri"/>
          <w:i/>
          <w:iCs/>
          <w:color w:val="000000" w:themeColor="text1"/>
        </w:rPr>
        <w:t xml:space="preserve">C. difficile </w:t>
      </w:r>
      <w:r w:rsidR="00F5270E" w:rsidRPr="001F6191">
        <w:rPr>
          <w:rFonts w:ascii="Calibri" w:hAnsi="Calibri" w:cs="Calibri"/>
          <w:color w:val="000000" w:themeColor="text1"/>
        </w:rPr>
        <w:t xml:space="preserve">that contains the gene for toxin B. The assay does NOT detect the presence of toxin B released from the bacteria. Thus, PCR detects strains with the </w:t>
      </w:r>
      <w:r w:rsidR="00F5270E" w:rsidRPr="001F6191">
        <w:rPr>
          <w:rFonts w:ascii="Calibri" w:hAnsi="Calibri" w:cs="Calibri"/>
          <w:b/>
          <w:bCs/>
          <w:i/>
          <w:iCs/>
          <w:color w:val="000000" w:themeColor="text1"/>
        </w:rPr>
        <w:t xml:space="preserve">potential </w:t>
      </w:r>
      <w:r w:rsidR="00F5270E" w:rsidRPr="001F6191">
        <w:rPr>
          <w:rFonts w:ascii="Calibri" w:hAnsi="Calibri" w:cs="Calibri"/>
          <w:color w:val="000000" w:themeColor="text1"/>
        </w:rPr>
        <w:t>to produce toxins but does not indicate whether there is active toxin production. Thus, while this test is very sensitive, it is not specific. In other words, PCR does not differentiate between infection and colonization.</w:t>
      </w:r>
    </w:p>
    <w:p w14:paraId="6FF9C737" w14:textId="1857DC3E" w:rsidR="00F5270E" w:rsidRPr="001F6191" w:rsidRDefault="00F5270E" w:rsidP="001F6191">
      <w:pPr>
        <w:pStyle w:val="NormalWeb"/>
        <w:numPr>
          <w:ilvl w:val="0"/>
          <w:numId w:val="2"/>
        </w:numPr>
        <w:spacing w:after="0" w:afterAutospacing="0"/>
      </w:pPr>
      <w:r w:rsidRPr="001F6191">
        <w:rPr>
          <w:rFonts w:ascii="Calibri" w:hAnsi="Calibri" w:cs="Calibri"/>
          <w:color w:val="000000" w:themeColor="text1"/>
        </w:rPr>
        <w:t>Asymptomatic colonization is common</w:t>
      </w:r>
      <w:r w:rsidRPr="00F5270E">
        <w:rPr>
          <w:rFonts w:ascii="Calibri" w:hAnsi="Calibri" w:cs="Calibri"/>
        </w:rPr>
        <w:t xml:space="preserve">, particularly among young patients </w:t>
      </w:r>
      <w:r w:rsidR="00EF42C6">
        <w:rPr>
          <w:rFonts w:ascii="Calibri" w:hAnsi="Calibri" w:cs="Calibri"/>
        </w:rPr>
        <w:t xml:space="preserve">(under age 24 months) </w:t>
      </w:r>
      <w:r w:rsidRPr="00F5270E">
        <w:rPr>
          <w:rFonts w:ascii="Calibri" w:hAnsi="Calibri" w:cs="Calibri"/>
        </w:rPr>
        <w:t xml:space="preserve">and those with recent healthcare exposures, but also among high-risk patients, such as children with cancer and inflammatory bowel disease. Treatment for colonization is not indicated. </w:t>
      </w:r>
    </w:p>
    <w:p w14:paraId="03493A88" w14:textId="77777777" w:rsidR="00F5270E" w:rsidRPr="00F5270E" w:rsidRDefault="00F5270E" w:rsidP="001F6191">
      <w:pPr>
        <w:pStyle w:val="NormalWeb"/>
        <w:numPr>
          <w:ilvl w:val="0"/>
          <w:numId w:val="2"/>
        </w:numPr>
        <w:spacing w:after="0" w:afterAutospacing="0"/>
      </w:pPr>
      <w:r>
        <w:rPr>
          <w:rFonts w:ascii="Calibri" w:hAnsi="Calibri" w:cs="Calibri"/>
        </w:rPr>
        <w:t>To</w:t>
      </w:r>
      <w:r w:rsidRPr="00F5270E">
        <w:rPr>
          <w:rFonts w:ascii="Calibri" w:hAnsi="Calibri" w:cs="Calibri"/>
        </w:rPr>
        <w:t xml:space="preserve"> avoid misdiagnosis of symptomatic CDI, unnecessary isolation of patients, and inappropriate treatment of colonization, testing is recommended for those with a reasonable pre-test probability of having CDI. </w:t>
      </w:r>
    </w:p>
    <w:p w14:paraId="43ED0C3B" w14:textId="1EA3BF6B" w:rsidR="00F5270E" w:rsidRPr="00036D76" w:rsidRDefault="00F5270E" w:rsidP="001F6191">
      <w:pPr>
        <w:pStyle w:val="NormalWeb"/>
        <w:numPr>
          <w:ilvl w:val="0"/>
          <w:numId w:val="2"/>
        </w:numPr>
        <w:spacing w:after="0" w:afterAutospacing="0"/>
      </w:pPr>
      <w:r>
        <w:rPr>
          <w:rFonts w:ascii="Calibri" w:hAnsi="Calibri" w:cs="Calibri"/>
        </w:rPr>
        <w:t xml:space="preserve">Post treatment testing is not recommended. Patients with </w:t>
      </w:r>
      <w:r w:rsidRPr="00F5270E">
        <w:rPr>
          <w:rFonts w:ascii="Calibri" w:hAnsi="Calibri" w:cs="Calibri"/>
          <w:i/>
          <w:iCs/>
        </w:rPr>
        <w:t xml:space="preserve">C. difficile </w:t>
      </w:r>
      <w:r w:rsidRPr="00CB6891">
        <w:rPr>
          <w:rFonts w:ascii="Calibri" w:hAnsi="Calibri" w:cs="Calibri"/>
        </w:rPr>
        <w:t xml:space="preserve">infection can have </w:t>
      </w:r>
      <w:r w:rsidR="000F25CD" w:rsidRPr="00CB6891">
        <w:rPr>
          <w:rFonts w:ascii="Calibri" w:hAnsi="Calibri" w:cs="Calibri"/>
        </w:rPr>
        <w:t>detectable</w:t>
      </w:r>
      <w:r w:rsidRPr="00CB6891">
        <w:rPr>
          <w:rFonts w:ascii="Calibri" w:hAnsi="Calibri" w:cs="Calibri"/>
        </w:rPr>
        <w:t xml:space="preserve"> </w:t>
      </w:r>
      <w:r w:rsidR="00CB6891" w:rsidRPr="00CB6891">
        <w:rPr>
          <w:rFonts w:ascii="Calibri" w:hAnsi="Calibri" w:cs="Calibri"/>
        </w:rPr>
        <w:t>testing</w:t>
      </w:r>
      <w:r w:rsidR="00CB6891">
        <w:rPr>
          <w:rFonts w:ascii="Calibri" w:hAnsi="Calibri" w:cs="Calibri"/>
          <w:i/>
          <w:iCs/>
        </w:rPr>
        <w:t xml:space="preserve"> </w:t>
      </w:r>
      <w:r w:rsidRPr="00F5270E">
        <w:rPr>
          <w:rFonts w:ascii="Calibri" w:hAnsi="Calibri" w:cs="Calibri"/>
        </w:rPr>
        <w:t xml:space="preserve">in their stool for over a month after resolution of symptoms. Therefore, repeat testing after resolution of symptoms to ensure “clearance” of the organism is not appropriate. </w:t>
      </w:r>
    </w:p>
    <w:p w14:paraId="543146AF" w14:textId="3CA22885" w:rsidR="00036D76" w:rsidRPr="00036D76" w:rsidRDefault="00036D76" w:rsidP="001F6191">
      <w:pPr>
        <w:pStyle w:val="NormalWeb"/>
        <w:numPr>
          <w:ilvl w:val="0"/>
          <w:numId w:val="2"/>
        </w:numPr>
        <w:spacing w:after="0" w:afterAutospacing="0"/>
      </w:pPr>
      <w:r>
        <w:rPr>
          <w:rFonts w:ascii="Calibri" w:hAnsi="Calibri" w:cs="Calibri"/>
        </w:rPr>
        <w:t xml:space="preserve">Without </w:t>
      </w:r>
      <w:r w:rsidR="00EF42C6">
        <w:rPr>
          <w:rFonts w:ascii="Calibri" w:hAnsi="Calibri" w:cs="Calibri"/>
        </w:rPr>
        <w:t xml:space="preserve">restrictions, approximately 10% </w:t>
      </w:r>
      <w:r>
        <w:rPr>
          <w:rFonts w:ascii="Calibri" w:hAnsi="Calibri" w:cs="Calibri"/>
        </w:rPr>
        <w:t>of</w:t>
      </w:r>
      <w:r w:rsidR="00D87BB1">
        <w:rPr>
          <w:rFonts w:ascii="Calibri" w:hAnsi="Calibri" w:cs="Calibri"/>
        </w:rPr>
        <w:t xml:space="preserve"> tested</w:t>
      </w:r>
      <w:r>
        <w:rPr>
          <w:rFonts w:ascii="Calibri" w:hAnsi="Calibri" w:cs="Calibri"/>
        </w:rPr>
        <w:t xml:space="preserve"> </w:t>
      </w:r>
      <w:r w:rsidR="00D87BB1">
        <w:rPr>
          <w:rFonts w:ascii="Calibri" w:hAnsi="Calibri" w:cs="Calibri"/>
        </w:rPr>
        <w:t xml:space="preserve">CHOA </w:t>
      </w:r>
      <w:r>
        <w:rPr>
          <w:rFonts w:ascii="Calibri" w:hAnsi="Calibri" w:cs="Calibri"/>
        </w:rPr>
        <w:t xml:space="preserve">samples </w:t>
      </w:r>
      <w:r w:rsidR="00FE0116">
        <w:rPr>
          <w:rFonts w:ascii="Calibri" w:hAnsi="Calibri" w:cs="Calibri"/>
        </w:rPr>
        <w:t xml:space="preserve">tested </w:t>
      </w:r>
      <w:r>
        <w:rPr>
          <w:rFonts w:ascii="Calibri" w:hAnsi="Calibri" w:cs="Calibri"/>
        </w:rPr>
        <w:t xml:space="preserve">are in the under </w:t>
      </w:r>
      <w:r w:rsidR="00D40D68">
        <w:rPr>
          <w:rFonts w:ascii="Calibri" w:hAnsi="Calibri" w:cs="Calibri"/>
        </w:rPr>
        <w:t>2-year-old</w:t>
      </w:r>
      <w:r>
        <w:rPr>
          <w:rFonts w:ascii="Calibri" w:hAnsi="Calibri" w:cs="Calibri"/>
        </w:rPr>
        <w:t xml:space="preserve"> age </w:t>
      </w:r>
      <w:proofErr w:type="gramStart"/>
      <w:r>
        <w:rPr>
          <w:rFonts w:ascii="Calibri" w:hAnsi="Calibri" w:cs="Calibri"/>
        </w:rPr>
        <w:t>group</w:t>
      </w:r>
      <w:proofErr w:type="gramEnd"/>
    </w:p>
    <w:p w14:paraId="21AB9B99" w14:textId="33F938B4" w:rsidR="00036D76" w:rsidRDefault="00EF42C6" w:rsidP="001F6191">
      <w:pPr>
        <w:pStyle w:val="NormalWeb"/>
        <w:numPr>
          <w:ilvl w:val="0"/>
          <w:numId w:val="2"/>
        </w:numPr>
        <w:spacing w:after="0" w:afterAutospacing="0"/>
      </w:pPr>
      <w:r>
        <w:rPr>
          <w:rFonts w:ascii="Calibri" w:hAnsi="Calibri" w:cs="Calibri"/>
        </w:rPr>
        <w:t>To avoid</w:t>
      </w:r>
      <w:r w:rsidR="00036D76">
        <w:rPr>
          <w:rFonts w:ascii="Calibri" w:hAnsi="Calibri" w:cs="Calibri"/>
        </w:rPr>
        <w:t xml:space="preserve"> unnecessary antibiotics</w:t>
      </w:r>
      <w:r>
        <w:rPr>
          <w:rFonts w:ascii="Calibri" w:hAnsi="Calibri" w:cs="Calibri"/>
        </w:rPr>
        <w:t xml:space="preserve">, best practice is to ensure that </w:t>
      </w:r>
      <w:r w:rsidR="00036D76">
        <w:rPr>
          <w:rFonts w:ascii="Calibri" w:hAnsi="Calibri" w:cs="Calibri"/>
        </w:rPr>
        <w:t xml:space="preserve">unnecessary testing is </w:t>
      </w:r>
      <w:r w:rsidR="003B2969">
        <w:rPr>
          <w:rFonts w:ascii="Calibri" w:hAnsi="Calibri" w:cs="Calibri"/>
        </w:rPr>
        <w:t>avoided</w:t>
      </w:r>
      <w:r w:rsidR="00036D76">
        <w:rPr>
          <w:rFonts w:ascii="Calibri" w:hAnsi="Calibri" w:cs="Calibri"/>
        </w:rPr>
        <w:t>.</w:t>
      </w:r>
    </w:p>
    <w:p w14:paraId="77FB0135" w14:textId="7B0128AE" w:rsidR="00F5270E" w:rsidRDefault="005D12A3" w:rsidP="001F6191">
      <w:pPr>
        <w:pStyle w:val="NormalWeb"/>
        <w:spacing w:after="0" w:afterAutospacing="0"/>
      </w:pPr>
      <w:r w:rsidRPr="000F25CD">
        <w:rPr>
          <w:rFonts w:ascii="Calibri" w:hAnsi="Calibri" w:cs="Calibri"/>
          <w:b/>
          <w:bCs/>
          <w:i/>
          <w:iCs/>
        </w:rPr>
        <w:t>Diagnostic Stewardship For CDI</w:t>
      </w:r>
      <w:r w:rsidR="00634EFD">
        <w:rPr>
          <w:rFonts w:ascii="Calibri" w:hAnsi="Calibri" w:cs="Calibri"/>
        </w:rPr>
        <w:t xml:space="preserve">: </w:t>
      </w:r>
      <w:r w:rsidR="00F5270E">
        <w:rPr>
          <w:rFonts w:ascii="Calibri" w:hAnsi="Calibri" w:cs="Calibri"/>
        </w:rPr>
        <w:t xml:space="preserve">Avoid </w:t>
      </w:r>
      <w:r w:rsidR="0092788B">
        <w:rPr>
          <w:rFonts w:ascii="Calibri" w:hAnsi="Calibri" w:cs="Calibri"/>
        </w:rPr>
        <w:t xml:space="preserve">routine </w:t>
      </w:r>
      <w:r w:rsidR="00F5270E">
        <w:rPr>
          <w:rFonts w:ascii="Calibri" w:hAnsi="Calibri" w:cs="Calibri"/>
        </w:rPr>
        <w:t xml:space="preserve">testing in the following situations: </w:t>
      </w:r>
    </w:p>
    <w:p w14:paraId="6626BC58" w14:textId="627FFA67" w:rsidR="005D12A3" w:rsidRPr="005D12A3" w:rsidRDefault="00F5270E" w:rsidP="001F6191">
      <w:pPr>
        <w:pStyle w:val="NormalWeb"/>
        <w:numPr>
          <w:ilvl w:val="0"/>
          <w:numId w:val="1"/>
        </w:numPr>
        <w:spacing w:after="0" w:afterAutospacing="0"/>
        <w:rPr>
          <w:rFonts w:ascii="SymbolMT" w:hAnsi="SymbolMT"/>
        </w:rPr>
      </w:pPr>
      <w:r>
        <w:rPr>
          <w:rFonts w:ascii="Calibri" w:hAnsi="Calibri" w:cs="Calibri"/>
        </w:rPr>
        <w:t xml:space="preserve">Patients &lt; </w:t>
      </w:r>
      <w:r w:rsidR="005D12A3">
        <w:rPr>
          <w:rFonts w:ascii="Calibri" w:hAnsi="Calibri" w:cs="Calibri"/>
        </w:rPr>
        <w:t>24 months</w:t>
      </w:r>
      <w:r>
        <w:rPr>
          <w:rFonts w:ascii="Calibri" w:hAnsi="Calibri" w:cs="Calibri"/>
        </w:rPr>
        <w:t xml:space="preserve"> </w:t>
      </w:r>
    </w:p>
    <w:p w14:paraId="35832633" w14:textId="5DF7E41B" w:rsidR="00F5270E" w:rsidRDefault="00F5270E" w:rsidP="001F6191">
      <w:pPr>
        <w:pStyle w:val="NormalWeb"/>
        <w:numPr>
          <w:ilvl w:val="0"/>
          <w:numId w:val="1"/>
        </w:numPr>
        <w:spacing w:after="0" w:afterAutospacing="0"/>
        <w:rPr>
          <w:rFonts w:ascii="SymbolMT" w:hAnsi="SymbolMT"/>
        </w:rPr>
      </w:pPr>
      <w:r>
        <w:rPr>
          <w:rFonts w:ascii="Calibri" w:hAnsi="Calibri" w:cs="Calibri"/>
        </w:rPr>
        <w:t xml:space="preserve">Patients without diarrhea (unless they have other non-diarrheal signs of fulminant CDI, such </w:t>
      </w:r>
      <w:r w:rsidRPr="005D12A3">
        <w:rPr>
          <w:rFonts w:ascii="Calibri" w:hAnsi="Calibri" w:cs="Calibri"/>
        </w:rPr>
        <w:t>as ileus or toxic megacolon)</w:t>
      </w:r>
      <w:r w:rsidR="005D12A3">
        <w:rPr>
          <w:rFonts w:ascii="Calibri" w:hAnsi="Calibri" w:cs="Calibri"/>
        </w:rPr>
        <w:t xml:space="preserve">. Diarrhea is 3 or more stools in a 24 </w:t>
      </w:r>
      <w:r w:rsidR="003B2969">
        <w:rPr>
          <w:rFonts w:ascii="Calibri" w:hAnsi="Calibri" w:cs="Calibri"/>
        </w:rPr>
        <w:t xml:space="preserve">hour </w:t>
      </w:r>
      <w:r w:rsidR="005D12A3">
        <w:rPr>
          <w:rFonts w:ascii="Calibri" w:hAnsi="Calibri" w:cs="Calibri"/>
        </w:rPr>
        <w:t xml:space="preserve">period that take the shape of the container they are in. </w:t>
      </w:r>
    </w:p>
    <w:p w14:paraId="51316DA2" w14:textId="77777777" w:rsidR="0092788B" w:rsidRPr="0092788B" w:rsidRDefault="00F5270E" w:rsidP="001F6191">
      <w:pPr>
        <w:pStyle w:val="NormalWeb"/>
        <w:numPr>
          <w:ilvl w:val="0"/>
          <w:numId w:val="1"/>
        </w:numPr>
        <w:spacing w:after="0" w:afterAutospacing="0"/>
        <w:rPr>
          <w:rFonts w:ascii="SymbolMT" w:hAnsi="SymbolMT"/>
        </w:rPr>
      </w:pPr>
      <w:r>
        <w:rPr>
          <w:rFonts w:ascii="Calibri" w:hAnsi="Calibri" w:cs="Calibri"/>
        </w:rPr>
        <w:t xml:space="preserve">Patients with diarrhea who have another more likely cause of diarrhea, such as a viral </w:t>
      </w:r>
      <w:r w:rsidRPr="005D12A3">
        <w:rPr>
          <w:rFonts w:ascii="Calibri" w:hAnsi="Calibri" w:cs="Calibri"/>
        </w:rPr>
        <w:t>syndrome</w:t>
      </w:r>
    </w:p>
    <w:p w14:paraId="2D5E82CA" w14:textId="2879DB09" w:rsidR="00F5270E" w:rsidRPr="005D12A3" w:rsidRDefault="00EF42C6" w:rsidP="001F6191">
      <w:pPr>
        <w:pStyle w:val="NormalWeb"/>
        <w:numPr>
          <w:ilvl w:val="0"/>
          <w:numId w:val="1"/>
        </w:numPr>
        <w:spacing w:after="0" w:afterAutospacing="0"/>
        <w:rPr>
          <w:rFonts w:ascii="SymbolMT" w:hAnsi="SymbolMT"/>
        </w:rPr>
      </w:pPr>
      <w:r>
        <w:rPr>
          <w:rFonts w:ascii="Calibri" w:hAnsi="Calibri" w:cs="Calibri"/>
        </w:rPr>
        <w:t>Use</w:t>
      </w:r>
      <w:r w:rsidR="00F5270E" w:rsidRPr="005D12A3">
        <w:rPr>
          <w:rFonts w:ascii="Calibri" w:hAnsi="Calibri" w:cs="Calibri"/>
        </w:rPr>
        <w:t xml:space="preserve"> of stool softeners or laxatives </w:t>
      </w:r>
      <w:r>
        <w:rPr>
          <w:rFonts w:ascii="Calibri" w:hAnsi="Calibri" w:cs="Calibri"/>
        </w:rPr>
        <w:t>within 48 hours</w:t>
      </w:r>
    </w:p>
    <w:p w14:paraId="1DCC37CE" w14:textId="77777777" w:rsidR="00F5270E" w:rsidRDefault="00F5270E" w:rsidP="001F6191">
      <w:pPr>
        <w:pStyle w:val="NormalWeb"/>
        <w:numPr>
          <w:ilvl w:val="0"/>
          <w:numId w:val="1"/>
        </w:numPr>
        <w:spacing w:after="0" w:afterAutospacing="0"/>
        <w:rPr>
          <w:rFonts w:ascii="SymbolMT" w:hAnsi="SymbolMT"/>
        </w:rPr>
      </w:pPr>
      <w:r>
        <w:rPr>
          <w:rFonts w:ascii="Calibri" w:hAnsi="Calibri" w:cs="Calibri"/>
        </w:rPr>
        <w:t xml:space="preserve">Patients who had a negative </w:t>
      </w:r>
      <w:r>
        <w:rPr>
          <w:rFonts w:ascii="Calibri" w:hAnsi="Calibri" w:cs="Calibri"/>
          <w:i/>
          <w:iCs/>
        </w:rPr>
        <w:t xml:space="preserve">C. difficile </w:t>
      </w:r>
      <w:r>
        <w:rPr>
          <w:rFonts w:ascii="Calibri" w:hAnsi="Calibri" w:cs="Calibri"/>
        </w:rPr>
        <w:t xml:space="preserve">PCR from the same episode of diarrhea </w:t>
      </w:r>
    </w:p>
    <w:p w14:paraId="3E85AB0F" w14:textId="77777777" w:rsidR="00F5270E" w:rsidRDefault="00F5270E" w:rsidP="001F6191">
      <w:pPr>
        <w:pStyle w:val="NormalWeb"/>
        <w:numPr>
          <w:ilvl w:val="0"/>
          <w:numId w:val="1"/>
        </w:numPr>
        <w:spacing w:after="0" w:afterAutospacing="0"/>
        <w:rPr>
          <w:rFonts w:ascii="SymbolMT" w:hAnsi="SymbolMT"/>
        </w:rPr>
      </w:pPr>
      <w:r>
        <w:rPr>
          <w:rFonts w:ascii="Calibri" w:hAnsi="Calibri" w:cs="Calibri"/>
        </w:rPr>
        <w:t xml:space="preserve">As a test of cure </w:t>
      </w:r>
    </w:p>
    <w:p w14:paraId="155986A6" w14:textId="1C7784F0" w:rsidR="005D12A3" w:rsidRPr="005D12A3" w:rsidRDefault="005D12A3" w:rsidP="001F6191">
      <w:pPr>
        <w:pStyle w:val="NormalWeb"/>
        <w:spacing w:after="0" w:afterAutospacing="0"/>
        <w:ind w:left="360"/>
        <w:rPr>
          <w:rFonts w:ascii="SymbolMT" w:hAnsi="SymbolMT"/>
        </w:rPr>
      </w:pPr>
      <w:r w:rsidRPr="000F25CD">
        <w:rPr>
          <w:rFonts w:ascii="Calibri" w:hAnsi="Calibri" w:cs="Calibri"/>
          <w:b/>
          <w:bCs/>
          <w:i/>
          <w:iCs/>
        </w:rPr>
        <w:t>Rejection criteria for stool in the CHOA laboratory</w:t>
      </w:r>
      <w:r w:rsidR="00634EFD">
        <w:rPr>
          <w:rFonts w:ascii="Calibri" w:hAnsi="Calibri" w:cs="Calibri"/>
          <w:b/>
          <w:bCs/>
          <w:i/>
          <w:iCs/>
        </w:rPr>
        <w:t xml:space="preserve">: </w:t>
      </w:r>
      <w:r>
        <w:rPr>
          <w:rFonts w:ascii="Calibri" w:hAnsi="Calibri" w:cs="Calibri"/>
        </w:rPr>
        <w:t>Formed stool</w:t>
      </w:r>
      <w:r w:rsidR="00634EFD">
        <w:rPr>
          <w:rFonts w:ascii="Calibri" w:hAnsi="Calibri" w:cs="Calibri"/>
        </w:rPr>
        <w:t xml:space="preserve">, testing done in the last 7 days, children under the age of 24 months without ID </w:t>
      </w:r>
      <w:proofErr w:type="gramStart"/>
      <w:r w:rsidR="00634EFD">
        <w:rPr>
          <w:rFonts w:ascii="Calibri" w:hAnsi="Calibri" w:cs="Calibri"/>
        </w:rPr>
        <w:t>approval</w:t>
      </w:r>
      <w:proofErr w:type="gramEnd"/>
    </w:p>
    <w:p w14:paraId="12A9079B" w14:textId="1196EDFF" w:rsidR="00964337" w:rsidRDefault="00FC2C30" w:rsidP="001F6191">
      <w:pPr>
        <w:pStyle w:val="NormalWeb"/>
        <w:spacing w:after="0" w:afterAutospacing="0"/>
        <w:rPr>
          <w:rFonts w:ascii="Calibri" w:hAnsi="Calibri" w:cs="Calibri"/>
        </w:rPr>
      </w:pPr>
      <w:r w:rsidRPr="001F6191">
        <w:rPr>
          <w:rFonts w:ascii="Calibri" w:hAnsi="Calibri" w:cs="Calibri"/>
          <w:b/>
          <w:bCs/>
          <w:i/>
        </w:rPr>
        <w:lastRenderedPageBreak/>
        <w:t xml:space="preserve">Management </w:t>
      </w:r>
      <w:r w:rsidR="000F25CD" w:rsidRPr="001F6191">
        <w:rPr>
          <w:rFonts w:ascii="Calibri" w:hAnsi="Calibri" w:cs="Calibri"/>
          <w:b/>
          <w:bCs/>
          <w:i/>
        </w:rPr>
        <w:t>of CD</w:t>
      </w:r>
      <w:r w:rsidR="00634EFD">
        <w:rPr>
          <w:rFonts w:ascii="Calibri" w:hAnsi="Calibri" w:cs="Calibri"/>
          <w:b/>
          <w:bCs/>
          <w:i/>
        </w:rPr>
        <w:t xml:space="preserve">I: for all patients, remove other antimicrobials whenever possible. </w:t>
      </w:r>
      <w:r w:rsidR="001C7A25">
        <w:rPr>
          <w:rFonts w:ascii="Calibri" w:hAnsi="Calibri" w:cs="Calibri"/>
        </w:rPr>
        <w:t xml:space="preserve">Treatment is not </w:t>
      </w:r>
      <w:proofErr w:type="gramStart"/>
      <w:r w:rsidR="001C7A25">
        <w:rPr>
          <w:rFonts w:ascii="Calibri" w:hAnsi="Calibri" w:cs="Calibri"/>
        </w:rPr>
        <w:t>recommend</w:t>
      </w:r>
      <w:proofErr w:type="gramEnd"/>
      <w:r w:rsidR="001C7A25">
        <w:rPr>
          <w:rFonts w:ascii="Calibri" w:hAnsi="Calibri" w:cs="Calibri"/>
        </w:rPr>
        <w:t xml:space="preserve"> for a</w:t>
      </w:r>
      <w:r w:rsidR="005D12A3" w:rsidRPr="0092788B">
        <w:rPr>
          <w:rFonts w:ascii="Calibri" w:hAnsi="Calibri" w:cs="Calibri"/>
        </w:rPr>
        <w:t xml:space="preserve">symptomatic colonization or a patient whose diarrhea is unlikely to be caused by </w:t>
      </w:r>
      <w:r w:rsidR="005D12A3" w:rsidRPr="001F6191">
        <w:rPr>
          <w:rFonts w:ascii="Calibri" w:hAnsi="Calibri" w:cs="Calibri"/>
          <w:i/>
        </w:rPr>
        <w:t>C. difficile</w:t>
      </w:r>
      <w:r w:rsidR="001C7A25">
        <w:rPr>
          <w:rFonts w:ascii="Calibri" w:hAnsi="Calibri" w:cs="Calibri"/>
        </w:rPr>
        <w:t xml:space="preserve">. </w:t>
      </w:r>
    </w:p>
    <w:tbl>
      <w:tblPr>
        <w:tblStyle w:val="TableGrid"/>
        <w:tblW w:w="14395" w:type="dxa"/>
        <w:tblLook w:val="04A0" w:firstRow="1" w:lastRow="0" w:firstColumn="1" w:lastColumn="0" w:noHBand="0" w:noVBand="1"/>
      </w:tblPr>
      <w:tblGrid>
        <w:gridCol w:w="1435"/>
        <w:gridCol w:w="1530"/>
        <w:gridCol w:w="8058"/>
        <w:gridCol w:w="3372"/>
      </w:tblGrid>
      <w:tr w:rsidR="00FC2C30" w14:paraId="0933C690" w14:textId="77777777" w:rsidTr="001F6191">
        <w:tc>
          <w:tcPr>
            <w:tcW w:w="1435" w:type="dxa"/>
          </w:tcPr>
          <w:p w14:paraId="28ED53D9" w14:textId="77777777" w:rsidR="00FC2C30" w:rsidRDefault="00FC2C30" w:rsidP="001F6191">
            <w:pPr>
              <w:pStyle w:val="NormalWeb"/>
              <w:spacing w:after="0" w:afterAutospacing="0"/>
              <w:rPr>
                <w:rFonts w:ascii="Calibri" w:hAnsi="Calibri" w:cs="Calibri"/>
              </w:rPr>
            </w:pPr>
          </w:p>
        </w:tc>
        <w:tc>
          <w:tcPr>
            <w:tcW w:w="1530" w:type="dxa"/>
          </w:tcPr>
          <w:p w14:paraId="33B67364" w14:textId="773867B0" w:rsidR="00FC2C30" w:rsidRPr="001F6191" w:rsidRDefault="00FC2C30" w:rsidP="001F6191">
            <w:pPr>
              <w:pStyle w:val="NormalWeb"/>
              <w:spacing w:after="0" w:afterAutospacing="0"/>
              <w:rPr>
                <w:rFonts w:ascii="Calibri" w:hAnsi="Calibri" w:cs="Calibri"/>
                <w:b/>
              </w:rPr>
            </w:pPr>
            <w:r w:rsidRPr="001F6191">
              <w:rPr>
                <w:rFonts w:ascii="Calibri" w:hAnsi="Calibri" w:cs="Calibri"/>
                <w:b/>
              </w:rPr>
              <w:t>Isolation</w:t>
            </w:r>
          </w:p>
        </w:tc>
        <w:tc>
          <w:tcPr>
            <w:tcW w:w="8058" w:type="dxa"/>
          </w:tcPr>
          <w:p w14:paraId="797588B5" w14:textId="2AF2B1FD" w:rsidR="00FC2C30" w:rsidRPr="001F6191" w:rsidRDefault="00FC2C30" w:rsidP="001F6191">
            <w:pPr>
              <w:pStyle w:val="NormalWeb"/>
              <w:spacing w:after="0" w:afterAutospacing="0"/>
              <w:rPr>
                <w:rFonts w:ascii="Calibri" w:hAnsi="Calibri" w:cs="Calibri"/>
                <w:b/>
              </w:rPr>
            </w:pPr>
            <w:r w:rsidRPr="001F6191">
              <w:rPr>
                <w:rFonts w:ascii="Calibri" w:hAnsi="Calibri" w:cs="Calibri"/>
                <w:b/>
              </w:rPr>
              <w:t>Treatment</w:t>
            </w:r>
          </w:p>
        </w:tc>
        <w:tc>
          <w:tcPr>
            <w:tcW w:w="3372" w:type="dxa"/>
          </w:tcPr>
          <w:p w14:paraId="2D0A8F9A" w14:textId="20A4C0D0" w:rsidR="00FC2C30" w:rsidRPr="001F6191" w:rsidRDefault="00FC2C30" w:rsidP="001F6191">
            <w:pPr>
              <w:pStyle w:val="NormalWeb"/>
              <w:spacing w:after="0" w:afterAutospacing="0"/>
              <w:rPr>
                <w:rFonts w:ascii="Calibri" w:hAnsi="Calibri" w:cs="Calibri"/>
                <w:b/>
              </w:rPr>
            </w:pPr>
            <w:r w:rsidRPr="001F6191">
              <w:rPr>
                <w:rFonts w:ascii="Calibri" w:hAnsi="Calibri" w:cs="Calibri"/>
                <w:b/>
              </w:rPr>
              <w:t>Additional considerations</w:t>
            </w:r>
          </w:p>
        </w:tc>
      </w:tr>
      <w:tr w:rsidR="00910A75" w14:paraId="514531D5" w14:textId="77777777" w:rsidTr="001F6191">
        <w:tc>
          <w:tcPr>
            <w:tcW w:w="1435" w:type="dxa"/>
          </w:tcPr>
          <w:p w14:paraId="22553DF5" w14:textId="7B30D222" w:rsidR="00910A75" w:rsidRDefault="00910A75" w:rsidP="001F6191">
            <w:pPr>
              <w:pStyle w:val="NormalWeb"/>
              <w:spacing w:after="0" w:afterAutospacing="0"/>
              <w:rPr>
                <w:rFonts w:ascii="Calibri" w:hAnsi="Calibri" w:cs="Calibri"/>
              </w:rPr>
            </w:pPr>
            <w:r>
              <w:rPr>
                <w:rFonts w:ascii="Calibri" w:hAnsi="Calibri" w:cs="Calibri"/>
              </w:rPr>
              <w:t>Initial, non-severe CDI</w:t>
            </w:r>
          </w:p>
        </w:tc>
        <w:tc>
          <w:tcPr>
            <w:tcW w:w="1530" w:type="dxa"/>
            <w:vMerge w:val="restart"/>
            <w:vAlign w:val="center"/>
          </w:tcPr>
          <w:p w14:paraId="21CBB405" w14:textId="77777777" w:rsidR="00910A75" w:rsidRDefault="00910A75" w:rsidP="001F6191">
            <w:pPr>
              <w:pStyle w:val="NormalWeb"/>
              <w:spacing w:after="0" w:afterAutospacing="0"/>
              <w:jc w:val="center"/>
              <w:rPr>
                <w:rFonts w:ascii="Calibri" w:hAnsi="Calibri" w:cs="Calibri"/>
              </w:rPr>
            </w:pPr>
            <w:r>
              <w:rPr>
                <w:rFonts w:ascii="Calibri" w:hAnsi="Calibri" w:cs="Calibri"/>
              </w:rPr>
              <w:t>Contact with handwashing</w:t>
            </w:r>
          </w:p>
          <w:p w14:paraId="3B36A9F5" w14:textId="7B4456C1" w:rsidR="00910A75" w:rsidRDefault="00910A75" w:rsidP="001F6191">
            <w:pPr>
              <w:pStyle w:val="NormalWeb"/>
              <w:spacing w:after="0" w:afterAutospacing="0"/>
              <w:jc w:val="center"/>
              <w:rPr>
                <w:rFonts w:ascii="Calibri" w:hAnsi="Calibri" w:cs="Calibri"/>
              </w:rPr>
            </w:pPr>
          </w:p>
        </w:tc>
        <w:tc>
          <w:tcPr>
            <w:tcW w:w="8058" w:type="dxa"/>
          </w:tcPr>
          <w:p w14:paraId="5AF2F48E" w14:textId="77777777" w:rsidR="00910A75" w:rsidRDefault="00910A75" w:rsidP="00663808">
            <w:pPr>
              <w:pStyle w:val="NormalWeb"/>
              <w:spacing w:after="0" w:afterAutospacing="0"/>
              <w:rPr>
                <w:rFonts w:ascii="Calibri" w:hAnsi="Calibri" w:cs="Calibri"/>
              </w:rPr>
            </w:pPr>
            <w:r w:rsidRPr="0092788B">
              <w:rPr>
                <w:rFonts w:ascii="Calibri" w:hAnsi="Calibri" w:cs="Calibri"/>
              </w:rPr>
              <w:t xml:space="preserve">Vancomycin PO 10 mg/kg/dose (max 125 mg) QID for 10 days </w:t>
            </w:r>
          </w:p>
          <w:p w14:paraId="2361314B" w14:textId="77777777" w:rsidR="00910A75" w:rsidRDefault="00910A75" w:rsidP="001F6191">
            <w:pPr>
              <w:pStyle w:val="NormalWeb"/>
              <w:spacing w:after="0" w:afterAutospacing="0"/>
              <w:rPr>
                <w:rFonts w:ascii="Calibri" w:hAnsi="Calibri" w:cs="Calibri"/>
              </w:rPr>
            </w:pPr>
            <w:r w:rsidRPr="001F6191">
              <w:rPr>
                <w:rFonts w:ascii="Calibri" w:hAnsi="Calibri" w:cs="Calibri"/>
                <w:i/>
              </w:rPr>
              <w:t>Option for first episode of CDI in non-immunocompromised host</w:t>
            </w:r>
            <w:r>
              <w:rPr>
                <w:rFonts w:ascii="Calibri" w:hAnsi="Calibri" w:cs="Calibri"/>
              </w:rPr>
              <w:t xml:space="preserve">: </w:t>
            </w:r>
            <w:r w:rsidRPr="0092788B">
              <w:rPr>
                <w:rFonts w:ascii="Calibri" w:hAnsi="Calibri" w:cs="Calibri"/>
              </w:rPr>
              <w:t>Metronidazole PO 7.5 mg/kg/dose (max 500 mg) TID for 10 day</w:t>
            </w:r>
            <w:r>
              <w:rPr>
                <w:rFonts w:ascii="Calibri" w:hAnsi="Calibri" w:cs="Calibri"/>
              </w:rPr>
              <w:t>s</w:t>
            </w:r>
          </w:p>
          <w:p w14:paraId="3B23008F" w14:textId="7B05AA3F" w:rsidR="00910A75" w:rsidRDefault="00910A75" w:rsidP="001F6191">
            <w:pPr>
              <w:pStyle w:val="NormalWeb"/>
              <w:spacing w:after="0" w:afterAutospacing="0"/>
              <w:rPr>
                <w:rFonts w:ascii="Calibri" w:hAnsi="Calibri" w:cs="Calibri"/>
              </w:rPr>
            </w:pPr>
          </w:p>
        </w:tc>
        <w:tc>
          <w:tcPr>
            <w:tcW w:w="3372" w:type="dxa"/>
            <w:vMerge w:val="restart"/>
          </w:tcPr>
          <w:p w14:paraId="7DE3E6D4" w14:textId="0B10FD05" w:rsidR="00910A75" w:rsidRDefault="00910A75" w:rsidP="001F6191">
            <w:pPr>
              <w:pStyle w:val="NormalWeb"/>
              <w:numPr>
                <w:ilvl w:val="0"/>
                <w:numId w:val="5"/>
              </w:numPr>
              <w:spacing w:after="0" w:afterAutospacing="0"/>
              <w:rPr>
                <w:rFonts w:ascii="Calibri" w:hAnsi="Calibri" w:cs="Calibri"/>
              </w:rPr>
            </w:pPr>
            <w:r>
              <w:rPr>
                <w:rFonts w:ascii="Calibri" w:hAnsi="Calibri" w:cs="Calibri"/>
              </w:rPr>
              <w:t>Remove offending agents if possible</w:t>
            </w:r>
          </w:p>
          <w:p w14:paraId="25C768BB" w14:textId="3F5E1BA8" w:rsidR="000A6AC3" w:rsidRDefault="000A6AC3" w:rsidP="001F6191">
            <w:pPr>
              <w:pStyle w:val="NormalWeb"/>
              <w:numPr>
                <w:ilvl w:val="0"/>
                <w:numId w:val="5"/>
              </w:numPr>
              <w:spacing w:after="0" w:afterAutospacing="0"/>
              <w:rPr>
                <w:rFonts w:ascii="Calibri" w:hAnsi="Calibri" w:cs="Calibri"/>
              </w:rPr>
            </w:pPr>
            <w:r>
              <w:rPr>
                <w:rFonts w:ascii="Calibri" w:hAnsi="Calibri" w:cs="Calibri"/>
              </w:rPr>
              <w:t xml:space="preserve">Consider narrowing antibiotics if feasible </w:t>
            </w:r>
          </w:p>
          <w:p w14:paraId="1B7D893C" w14:textId="77777777" w:rsidR="00910A75" w:rsidRDefault="00910A75" w:rsidP="001F6191">
            <w:pPr>
              <w:pStyle w:val="NormalWeb"/>
              <w:numPr>
                <w:ilvl w:val="0"/>
                <w:numId w:val="5"/>
              </w:numPr>
              <w:spacing w:after="0" w:afterAutospacing="0"/>
              <w:rPr>
                <w:rFonts w:ascii="Calibri" w:hAnsi="Calibri" w:cs="Calibri"/>
              </w:rPr>
            </w:pPr>
            <w:r>
              <w:rPr>
                <w:rFonts w:ascii="Calibri" w:hAnsi="Calibri" w:cs="Calibri"/>
              </w:rPr>
              <w:t xml:space="preserve">Discontinue or limit duration of </w:t>
            </w:r>
            <w:proofErr w:type="spellStart"/>
            <w:r>
              <w:rPr>
                <w:rFonts w:ascii="Calibri" w:hAnsi="Calibri" w:cs="Calibri"/>
              </w:rPr>
              <w:t>gastic</w:t>
            </w:r>
            <w:proofErr w:type="spellEnd"/>
            <w:r>
              <w:rPr>
                <w:rFonts w:ascii="Calibri" w:hAnsi="Calibri" w:cs="Calibri"/>
              </w:rPr>
              <w:t xml:space="preserve"> acid suppression</w:t>
            </w:r>
          </w:p>
          <w:p w14:paraId="48D93EA6" w14:textId="6B1C32F2" w:rsidR="00910A75" w:rsidRDefault="00910A75" w:rsidP="001F6191">
            <w:pPr>
              <w:pStyle w:val="NormalWeb"/>
              <w:spacing w:after="0" w:afterAutospacing="0"/>
              <w:ind w:left="360"/>
              <w:rPr>
                <w:rFonts w:ascii="Calibri" w:hAnsi="Calibri" w:cs="Calibri"/>
              </w:rPr>
            </w:pPr>
          </w:p>
        </w:tc>
      </w:tr>
      <w:tr w:rsidR="00910A75" w14:paraId="6F6D9820" w14:textId="77777777" w:rsidTr="001F6191">
        <w:tc>
          <w:tcPr>
            <w:tcW w:w="1435" w:type="dxa"/>
          </w:tcPr>
          <w:p w14:paraId="669595D0" w14:textId="6DC176E8" w:rsidR="00910A75" w:rsidRDefault="00910A75" w:rsidP="001F6191">
            <w:pPr>
              <w:pStyle w:val="NormalWeb"/>
              <w:spacing w:after="0" w:afterAutospacing="0"/>
              <w:rPr>
                <w:rFonts w:ascii="Calibri" w:hAnsi="Calibri" w:cs="Calibri"/>
              </w:rPr>
            </w:pPr>
            <w:r>
              <w:rPr>
                <w:rFonts w:ascii="Calibri" w:hAnsi="Calibri" w:cs="Calibri"/>
              </w:rPr>
              <w:t>Recurrent CDI</w:t>
            </w:r>
          </w:p>
        </w:tc>
        <w:tc>
          <w:tcPr>
            <w:tcW w:w="1530" w:type="dxa"/>
            <w:vMerge/>
          </w:tcPr>
          <w:p w14:paraId="13A139D0" w14:textId="2DEABFC5" w:rsidR="00910A75" w:rsidRDefault="00910A75" w:rsidP="001F6191">
            <w:pPr>
              <w:pStyle w:val="NormalWeb"/>
              <w:spacing w:after="0" w:afterAutospacing="0"/>
              <w:rPr>
                <w:rFonts w:ascii="Calibri" w:hAnsi="Calibri" w:cs="Calibri"/>
              </w:rPr>
            </w:pPr>
          </w:p>
        </w:tc>
        <w:tc>
          <w:tcPr>
            <w:tcW w:w="8058" w:type="dxa"/>
          </w:tcPr>
          <w:p w14:paraId="73C30CA7" w14:textId="77777777" w:rsidR="00910A75" w:rsidRDefault="00910A75" w:rsidP="001F6191">
            <w:pPr>
              <w:pStyle w:val="NormalWeb"/>
              <w:spacing w:after="0" w:afterAutospacing="0"/>
              <w:rPr>
                <w:rFonts w:ascii="Calibri" w:hAnsi="Calibri" w:cs="Calibri"/>
              </w:rPr>
            </w:pPr>
            <w:r>
              <w:rPr>
                <w:rFonts w:ascii="Calibri" w:hAnsi="Calibri" w:cs="Calibri"/>
                <w:b/>
              </w:rPr>
              <w:t>First line</w:t>
            </w:r>
            <w:r>
              <w:rPr>
                <w:rFonts w:ascii="Calibri" w:hAnsi="Calibri" w:cs="Calibri"/>
              </w:rPr>
              <w:br/>
              <w:t xml:space="preserve">If patient has NOT previously received PO vancomycin: </w:t>
            </w:r>
            <w:r w:rsidRPr="0092788B">
              <w:rPr>
                <w:rFonts w:ascii="Calibri" w:hAnsi="Calibri" w:cs="Calibri"/>
              </w:rPr>
              <w:t>Vancomycin PO 10 mg/kg/dose (max 125 mg) QID for 10 days</w:t>
            </w:r>
          </w:p>
          <w:p w14:paraId="40BCA9FC" w14:textId="77777777" w:rsidR="00910A75" w:rsidRDefault="00910A75" w:rsidP="001F6191">
            <w:pPr>
              <w:pStyle w:val="NormalWeb"/>
              <w:spacing w:after="0" w:afterAutospacing="0"/>
              <w:rPr>
                <w:rFonts w:ascii="Calibri" w:hAnsi="Calibri" w:cs="Calibri"/>
              </w:rPr>
            </w:pPr>
            <w:r>
              <w:rPr>
                <w:rFonts w:ascii="Calibri" w:hAnsi="Calibri" w:cs="Calibri"/>
              </w:rPr>
              <w:t xml:space="preserve">If patient HAS previously received PO vancomycin: </w:t>
            </w:r>
          </w:p>
          <w:p w14:paraId="43936DF2" w14:textId="77777777" w:rsidR="00910A75" w:rsidRDefault="00910A75" w:rsidP="001F6191">
            <w:pPr>
              <w:pStyle w:val="NormalWeb"/>
              <w:numPr>
                <w:ilvl w:val="0"/>
                <w:numId w:val="7"/>
              </w:numPr>
              <w:spacing w:after="0" w:afterAutospacing="0"/>
              <w:rPr>
                <w:rFonts w:ascii="Calibri" w:hAnsi="Calibri" w:cs="Calibri"/>
              </w:rPr>
            </w:pPr>
            <w:r w:rsidRPr="0092788B">
              <w:rPr>
                <w:rFonts w:ascii="Calibri" w:hAnsi="Calibri" w:cs="Calibri"/>
                <w:color w:val="211E1E"/>
              </w:rPr>
              <w:t xml:space="preserve">Vancomycin pulse/taper- </w:t>
            </w:r>
            <w:r w:rsidRPr="0092788B">
              <w:rPr>
                <w:rFonts w:ascii="Calibri" w:hAnsi="Calibri" w:cs="Calibri"/>
              </w:rPr>
              <w:t>PO 10 mg/kg/dose (max 125 mg) QID for 14d, then 10 mg/kg/dose (max 125 mg) BID for 7d, then 10 mg/kg/dose (max 125 mg) once daily for 7d, then 10 mg/kg/dose (max 125 mg) every 2-3d for 2-8w</w:t>
            </w:r>
          </w:p>
          <w:p w14:paraId="2B338D99" w14:textId="3049A4FD" w:rsidR="00910A75" w:rsidRPr="00910A75" w:rsidRDefault="00910A75" w:rsidP="001F6191">
            <w:pPr>
              <w:pStyle w:val="NormalWeb"/>
              <w:numPr>
                <w:ilvl w:val="0"/>
                <w:numId w:val="7"/>
              </w:numPr>
              <w:spacing w:after="0" w:afterAutospacing="0"/>
              <w:rPr>
                <w:rFonts w:ascii="Calibri" w:hAnsi="Calibri" w:cs="Calibri"/>
              </w:rPr>
            </w:pPr>
            <w:r w:rsidRPr="0092788B">
              <w:rPr>
                <w:rFonts w:ascii="Calibri" w:hAnsi="Calibri" w:cs="Calibri"/>
              </w:rPr>
              <w:t>Fidaxomicin 16 mg/kg/dose (max 200 mg) PO BID x 10 days</w:t>
            </w:r>
            <w:r>
              <w:rPr>
                <w:rFonts w:ascii="Calibri" w:hAnsi="Calibri" w:cs="Calibri"/>
              </w:rPr>
              <w:t xml:space="preserve"> (fidaxomicin requires infectious diseases or antimicrobial stewardship approval).</w:t>
            </w:r>
            <w:r>
              <w:rPr>
                <w:rFonts w:ascii="Calibri" w:hAnsi="Calibri" w:cs="Calibri"/>
              </w:rPr>
              <w:br/>
            </w:r>
          </w:p>
        </w:tc>
        <w:tc>
          <w:tcPr>
            <w:tcW w:w="3372" w:type="dxa"/>
            <w:vMerge/>
          </w:tcPr>
          <w:p w14:paraId="73CBE06D" w14:textId="10E94672" w:rsidR="00910A75" w:rsidRDefault="00910A75" w:rsidP="001F6191">
            <w:pPr>
              <w:pStyle w:val="NormalWeb"/>
              <w:spacing w:after="0" w:afterAutospacing="0"/>
              <w:rPr>
                <w:rFonts w:ascii="Calibri" w:hAnsi="Calibri" w:cs="Calibri"/>
              </w:rPr>
            </w:pPr>
          </w:p>
        </w:tc>
      </w:tr>
      <w:tr w:rsidR="00910A75" w14:paraId="6A5BDA26" w14:textId="77777777" w:rsidTr="001F6191">
        <w:tc>
          <w:tcPr>
            <w:tcW w:w="1435" w:type="dxa"/>
          </w:tcPr>
          <w:p w14:paraId="2594E805" w14:textId="37E71AA2" w:rsidR="00910A75" w:rsidRDefault="00910A75" w:rsidP="001F6191">
            <w:pPr>
              <w:pStyle w:val="NormalWeb"/>
              <w:spacing w:after="0" w:afterAutospacing="0"/>
              <w:rPr>
                <w:rFonts w:ascii="Calibri" w:hAnsi="Calibri" w:cs="Calibri"/>
              </w:rPr>
            </w:pPr>
            <w:r>
              <w:rPr>
                <w:rFonts w:ascii="Calibri" w:hAnsi="Calibri" w:cs="Calibri"/>
              </w:rPr>
              <w:t>Severe or fulminant CDI</w:t>
            </w:r>
          </w:p>
        </w:tc>
        <w:tc>
          <w:tcPr>
            <w:tcW w:w="1530" w:type="dxa"/>
            <w:vMerge/>
          </w:tcPr>
          <w:p w14:paraId="5C95C661" w14:textId="77777777" w:rsidR="00910A75" w:rsidRDefault="00910A75" w:rsidP="001F6191">
            <w:pPr>
              <w:pStyle w:val="NormalWeb"/>
              <w:spacing w:after="0" w:afterAutospacing="0"/>
              <w:rPr>
                <w:rFonts w:ascii="Calibri" w:hAnsi="Calibri" w:cs="Calibri"/>
              </w:rPr>
            </w:pPr>
          </w:p>
        </w:tc>
        <w:tc>
          <w:tcPr>
            <w:tcW w:w="8058" w:type="dxa"/>
          </w:tcPr>
          <w:p w14:paraId="78E86AC6" w14:textId="7C3D0904" w:rsidR="00910A75" w:rsidRDefault="00910A75" w:rsidP="001F6191">
            <w:pPr>
              <w:pStyle w:val="NormalWeb"/>
              <w:spacing w:after="0" w:afterAutospacing="0"/>
              <w:rPr>
                <w:rFonts w:ascii="Calibri" w:hAnsi="Calibri" w:cs="Calibri"/>
              </w:rPr>
            </w:pPr>
            <w:r>
              <w:rPr>
                <w:rFonts w:ascii="Calibri" w:hAnsi="Calibri" w:cs="Calibri"/>
              </w:rPr>
              <w:t xml:space="preserve">Vancomycin PO 10 mg/kg/dose (max 500 mg) QID (can also be given PR [with PO] if decreased GI motility, such as ileus or megacolon) </w:t>
            </w:r>
            <w:r>
              <w:rPr>
                <w:rFonts w:ascii="Calibri" w:hAnsi="Calibri" w:cs="Calibri"/>
                <w:b/>
                <w:bCs/>
              </w:rPr>
              <w:t xml:space="preserve">PLUS </w:t>
            </w:r>
            <w:r>
              <w:rPr>
                <w:rFonts w:ascii="Calibri" w:hAnsi="Calibri" w:cs="Calibri"/>
              </w:rPr>
              <w:t>Metronidazole IV 10 mg/kg/dose (max 500 mg) TID</w:t>
            </w:r>
            <w:r>
              <w:rPr>
                <w:rFonts w:ascii="Calibri" w:hAnsi="Calibri" w:cs="Calibri"/>
              </w:rPr>
              <w:br/>
              <w:t>Consideration of adjunct agents will be considered with ID consultation</w:t>
            </w:r>
          </w:p>
        </w:tc>
        <w:tc>
          <w:tcPr>
            <w:tcW w:w="3372" w:type="dxa"/>
          </w:tcPr>
          <w:p w14:paraId="1C0465C5" w14:textId="77777777" w:rsidR="00910A75" w:rsidRPr="001F6191" w:rsidRDefault="00910A75" w:rsidP="001F6191">
            <w:pPr>
              <w:pStyle w:val="NormalWeb"/>
              <w:numPr>
                <w:ilvl w:val="0"/>
                <w:numId w:val="5"/>
              </w:numPr>
              <w:spacing w:after="0" w:afterAutospacing="0"/>
              <w:rPr>
                <w:rFonts w:ascii="Calibri" w:hAnsi="Calibri" w:cs="Calibri"/>
              </w:rPr>
            </w:pPr>
            <w:r>
              <w:rPr>
                <w:rFonts w:ascii="Calibri" w:hAnsi="Calibri" w:cs="Calibri"/>
                <w:color w:val="211E1E"/>
              </w:rPr>
              <w:t>Infectious Diseases consultation</w:t>
            </w:r>
          </w:p>
          <w:p w14:paraId="195E7A48" w14:textId="77777777" w:rsidR="00910A75" w:rsidRPr="001F6191" w:rsidRDefault="00910A75" w:rsidP="001F6191">
            <w:pPr>
              <w:pStyle w:val="NormalWeb"/>
              <w:numPr>
                <w:ilvl w:val="0"/>
                <w:numId w:val="5"/>
              </w:numPr>
              <w:spacing w:after="0" w:afterAutospacing="0"/>
              <w:rPr>
                <w:rFonts w:ascii="Calibri" w:hAnsi="Calibri" w:cs="Calibri"/>
              </w:rPr>
            </w:pPr>
            <w:r w:rsidRPr="00910A75">
              <w:rPr>
                <w:rFonts w:ascii="Calibri" w:hAnsi="Calibri" w:cs="Calibri"/>
                <w:color w:val="211E1E"/>
              </w:rPr>
              <w:t>Urgent pediatric surgery consultation if hemodynamic instability and/or a surgical abdomen</w:t>
            </w:r>
          </w:p>
          <w:p w14:paraId="07553195" w14:textId="7ED3AB45" w:rsidR="001A5490" w:rsidRPr="00910A75" w:rsidRDefault="001A5490" w:rsidP="001F6191">
            <w:pPr>
              <w:pStyle w:val="NormalWeb"/>
              <w:spacing w:after="0" w:afterAutospacing="0"/>
              <w:ind w:left="360"/>
              <w:rPr>
                <w:rFonts w:ascii="Calibri" w:hAnsi="Calibri" w:cs="Calibri"/>
              </w:rPr>
            </w:pPr>
          </w:p>
        </w:tc>
      </w:tr>
    </w:tbl>
    <w:p w14:paraId="59EB64AE" w14:textId="66350671" w:rsidR="000F25CD" w:rsidRDefault="00634EFD" w:rsidP="001F6191">
      <w:pPr>
        <w:pStyle w:val="NormalWeb"/>
        <w:spacing w:after="0" w:afterAutospacing="0"/>
      </w:pPr>
      <w:r>
        <w:rPr>
          <w:rFonts w:ascii="Calibri" w:hAnsi="Calibri" w:cs="Calibri"/>
          <w:b/>
          <w:bCs/>
        </w:rPr>
        <w:t xml:space="preserve">Definitions: </w:t>
      </w:r>
      <w:r w:rsidRPr="001F6191">
        <w:rPr>
          <w:rFonts w:ascii="Calibri" w:hAnsi="Calibri" w:cs="Calibri"/>
          <w:b/>
          <w:bCs/>
          <w:i/>
          <w:iCs/>
        </w:rPr>
        <w:t>Recurrent CDI:</w:t>
      </w:r>
      <w:r>
        <w:rPr>
          <w:rFonts w:ascii="Calibri" w:hAnsi="Calibri" w:cs="Calibri"/>
          <w:b/>
          <w:bCs/>
        </w:rPr>
        <w:t xml:space="preserve"> </w:t>
      </w:r>
      <w:r w:rsidRPr="0092788B">
        <w:rPr>
          <w:rFonts w:ascii="Calibri" w:hAnsi="Calibri" w:cs="Calibri"/>
        </w:rPr>
        <w:t>CDI recurrence is a second episode within ~8 weeks of previous. A repeat episode well beyond 8 weeks should be considered analogous to a first episode.</w:t>
      </w:r>
      <w:r>
        <w:rPr>
          <w:rFonts w:ascii="Calibri" w:hAnsi="Calibri" w:cs="Calibri"/>
        </w:rPr>
        <w:t xml:space="preserve"> </w:t>
      </w:r>
      <w:r w:rsidRPr="00585339">
        <w:rPr>
          <w:rFonts w:ascii="Calibri" w:hAnsi="Calibri" w:cs="Calibri"/>
          <w:i/>
          <w:iCs/>
        </w:rPr>
        <w:t>Severe CDI</w:t>
      </w:r>
      <w:r>
        <w:rPr>
          <w:rFonts w:ascii="Calibri" w:hAnsi="Calibri" w:cs="Calibri"/>
        </w:rPr>
        <w:t xml:space="preserve"> is associated with WBC &gt;15,000 or with significant acute kidney injury. </w:t>
      </w:r>
      <w:r>
        <w:rPr>
          <w:rFonts w:ascii="Calibri" w:hAnsi="Calibri" w:cs="Calibri"/>
          <w:i/>
          <w:iCs/>
        </w:rPr>
        <w:t xml:space="preserve">Fulminant CDI </w:t>
      </w:r>
      <w:r>
        <w:rPr>
          <w:rFonts w:ascii="Calibri" w:hAnsi="Calibri" w:cs="Calibri"/>
        </w:rPr>
        <w:t>is associated with any of the following: Sepsis, Hypotension requiring pressors Toxic megacolon</w:t>
      </w:r>
      <w:r>
        <w:rPr>
          <w:rFonts w:ascii="Calibri" w:hAnsi="Calibri" w:cs="Calibri"/>
        </w:rPr>
        <w:br/>
        <w:t xml:space="preserve">Need for ICU, Ileus, Gastrointestinal Perforation, Surgery for CDI-related complication (megacolon, perforation, refractory colitis). </w:t>
      </w:r>
    </w:p>
    <w:sectPr w:rsidR="000F25CD" w:rsidSect="00A843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86C36"/>
    <w:multiLevelType w:val="hybridMultilevel"/>
    <w:tmpl w:val="AF06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B0C5D"/>
    <w:multiLevelType w:val="hybridMultilevel"/>
    <w:tmpl w:val="E7AC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1308A"/>
    <w:multiLevelType w:val="hybridMultilevel"/>
    <w:tmpl w:val="A41A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517CE4"/>
    <w:multiLevelType w:val="hybridMultilevel"/>
    <w:tmpl w:val="02747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DC63AA"/>
    <w:multiLevelType w:val="hybridMultilevel"/>
    <w:tmpl w:val="9252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BB728E"/>
    <w:multiLevelType w:val="multilevel"/>
    <w:tmpl w:val="E5B4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A10078F"/>
    <w:multiLevelType w:val="hybridMultilevel"/>
    <w:tmpl w:val="D5F805E0"/>
    <w:lvl w:ilvl="0" w:tplc="E5D6F6DA">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379598">
    <w:abstractNumId w:val="5"/>
  </w:num>
  <w:num w:numId="2" w16cid:durableId="131867570">
    <w:abstractNumId w:val="4"/>
  </w:num>
  <w:num w:numId="3" w16cid:durableId="523516673">
    <w:abstractNumId w:val="6"/>
  </w:num>
  <w:num w:numId="4" w16cid:durableId="1674650054">
    <w:abstractNumId w:val="0"/>
  </w:num>
  <w:num w:numId="5" w16cid:durableId="2108456148">
    <w:abstractNumId w:val="3"/>
  </w:num>
  <w:num w:numId="6" w16cid:durableId="1382904572">
    <w:abstractNumId w:val="1"/>
  </w:num>
  <w:num w:numId="7" w16cid:durableId="9685846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0E"/>
    <w:rsid w:val="00016687"/>
    <w:rsid w:val="000339A4"/>
    <w:rsid w:val="00036D76"/>
    <w:rsid w:val="000A6AC3"/>
    <w:rsid w:val="000F25CD"/>
    <w:rsid w:val="000F2801"/>
    <w:rsid w:val="00107035"/>
    <w:rsid w:val="00113870"/>
    <w:rsid w:val="00114C92"/>
    <w:rsid w:val="001279DE"/>
    <w:rsid w:val="0013592F"/>
    <w:rsid w:val="001A1162"/>
    <w:rsid w:val="001A5490"/>
    <w:rsid w:val="001B03BE"/>
    <w:rsid w:val="001C7A25"/>
    <w:rsid w:val="001F6191"/>
    <w:rsid w:val="002025AC"/>
    <w:rsid w:val="00234597"/>
    <w:rsid w:val="00241EC1"/>
    <w:rsid w:val="002507C3"/>
    <w:rsid w:val="002747A0"/>
    <w:rsid w:val="002762CC"/>
    <w:rsid w:val="0028254C"/>
    <w:rsid w:val="00292BFD"/>
    <w:rsid w:val="002C0D9D"/>
    <w:rsid w:val="00314C57"/>
    <w:rsid w:val="00326FF5"/>
    <w:rsid w:val="00375D74"/>
    <w:rsid w:val="003B2969"/>
    <w:rsid w:val="003C2C43"/>
    <w:rsid w:val="003D788B"/>
    <w:rsid w:val="003F3532"/>
    <w:rsid w:val="003F6A72"/>
    <w:rsid w:val="00400AF2"/>
    <w:rsid w:val="00417FE7"/>
    <w:rsid w:val="00420334"/>
    <w:rsid w:val="00486840"/>
    <w:rsid w:val="00492E77"/>
    <w:rsid w:val="004A65DF"/>
    <w:rsid w:val="004F5203"/>
    <w:rsid w:val="00531678"/>
    <w:rsid w:val="00555C6C"/>
    <w:rsid w:val="00556D7F"/>
    <w:rsid w:val="00585339"/>
    <w:rsid w:val="005B217A"/>
    <w:rsid w:val="005C266A"/>
    <w:rsid w:val="005D12A3"/>
    <w:rsid w:val="005F62C1"/>
    <w:rsid w:val="00634EFD"/>
    <w:rsid w:val="00663808"/>
    <w:rsid w:val="006C2E21"/>
    <w:rsid w:val="006F0274"/>
    <w:rsid w:val="00723128"/>
    <w:rsid w:val="007266A8"/>
    <w:rsid w:val="00745621"/>
    <w:rsid w:val="00754AB0"/>
    <w:rsid w:val="00794CB5"/>
    <w:rsid w:val="007A0AFF"/>
    <w:rsid w:val="007D1EC7"/>
    <w:rsid w:val="00800EB6"/>
    <w:rsid w:val="00804477"/>
    <w:rsid w:val="008358E7"/>
    <w:rsid w:val="00845ACB"/>
    <w:rsid w:val="0084720D"/>
    <w:rsid w:val="00885EAE"/>
    <w:rsid w:val="0089209E"/>
    <w:rsid w:val="008C2EE8"/>
    <w:rsid w:val="008C4263"/>
    <w:rsid w:val="008D057A"/>
    <w:rsid w:val="00910A75"/>
    <w:rsid w:val="00911DC5"/>
    <w:rsid w:val="0092788B"/>
    <w:rsid w:val="00935CCB"/>
    <w:rsid w:val="0096052B"/>
    <w:rsid w:val="00964337"/>
    <w:rsid w:val="00977B1E"/>
    <w:rsid w:val="009F0395"/>
    <w:rsid w:val="00A209BF"/>
    <w:rsid w:val="00A316D7"/>
    <w:rsid w:val="00A608DC"/>
    <w:rsid w:val="00A77A64"/>
    <w:rsid w:val="00A843B5"/>
    <w:rsid w:val="00A918F0"/>
    <w:rsid w:val="00AB48FD"/>
    <w:rsid w:val="00AF78A8"/>
    <w:rsid w:val="00B062D0"/>
    <w:rsid w:val="00B1630F"/>
    <w:rsid w:val="00B5651B"/>
    <w:rsid w:val="00BB078E"/>
    <w:rsid w:val="00BD43CE"/>
    <w:rsid w:val="00C526CE"/>
    <w:rsid w:val="00C7212F"/>
    <w:rsid w:val="00C75E55"/>
    <w:rsid w:val="00C91DE5"/>
    <w:rsid w:val="00CA2AA2"/>
    <w:rsid w:val="00CA771B"/>
    <w:rsid w:val="00CB6891"/>
    <w:rsid w:val="00CC22C4"/>
    <w:rsid w:val="00CF2681"/>
    <w:rsid w:val="00CF67F0"/>
    <w:rsid w:val="00D26760"/>
    <w:rsid w:val="00D40D68"/>
    <w:rsid w:val="00D828FD"/>
    <w:rsid w:val="00D87BB1"/>
    <w:rsid w:val="00D9368B"/>
    <w:rsid w:val="00DB179F"/>
    <w:rsid w:val="00DC3C4F"/>
    <w:rsid w:val="00E018A9"/>
    <w:rsid w:val="00E233C8"/>
    <w:rsid w:val="00E90634"/>
    <w:rsid w:val="00EC0693"/>
    <w:rsid w:val="00EC7EF3"/>
    <w:rsid w:val="00EF42C6"/>
    <w:rsid w:val="00F0662D"/>
    <w:rsid w:val="00F067BE"/>
    <w:rsid w:val="00F5270E"/>
    <w:rsid w:val="00F8556F"/>
    <w:rsid w:val="00F91797"/>
    <w:rsid w:val="00FB5747"/>
    <w:rsid w:val="00FC2C30"/>
    <w:rsid w:val="00FE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56E1"/>
  <w15:chartTrackingRefBased/>
  <w15:docId w15:val="{1BF2BFD4-C471-CB4A-AB6D-83010E6F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5270E"/>
    <w:pPr>
      <w:spacing w:before="100" w:beforeAutospacing="1" w:after="100" w:afterAutospacing="1"/>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3B2969"/>
    <w:rPr>
      <w:sz w:val="16"/>
      <w:szCs w:val="16"/>
    </w:rPr>
  </w:style>
  <w:style w:type="paragraph" w:styleId="CommentText">
    <w:name w:val="annotation text"/>
    <w:basedOn w:val="Normal"/>
    <w:link w:val="CommentTextChar"/>
    <w:uiPriority w:val="99"/>
    <w:semiHidden/>
    <w:unhideWhenUsed/>
    <w:rsid w:val="003B2969"/>
    <w:rPr>
      <w:sz w:val="20"/>
      <w:szCs w:val="20"/>
    </w:rPr>
  </w:style>
  <w:style w:type="character" w:customStyle="1" w:styleId="CommentTextChar">
    <w:name w:val="Comment Text Char"/>
    <w:basedOn w:val="DefaultParagraphFont"/>
    <w:link w:val="CommentText"/>
    <w:uiPriority w:val="99"/>
    <w:semiHidden/>
    <w:rsid w:val="003B2969"/>
    <w:rPr>
      <w:sz w:val="20"/>
      <w:szCs w:val="20"/>
    </w:rPr>
  </w:style>
  <w:style w:type="paragraph" w:styleId="CommentSubject">
    <w:name w:val="annotation subject"/>
    <w:basedOn w:val="CommentText"/>
    <w:next w:val="CommentText"/>
    <w:link w:val="CommentSubjectChar"/>
    <w:uiPriority w:val="99"/>
    <w:semiHidden/>
    <w:unhideWhenUsed/>
    <w:rsid w:val="003B2969"/>
    <w:rPr>
      <w:b/>
      <w:bCs/>
    </w:rPr>
  </w:style>
  <w:style w:type="character" w:customStyle="1" w:styleId="CommentSubjectChar">
    <w:name w:val="Comment Subject Char"/>
    <w:basedOn w:val="CommentTextChar"/>
    <w:link w:val="CommentSubject"/>
    <w:uiPriority w:val="99"/>
    <w:semiHidden/>
    <w:rsid w:val="003B2969"/>
    <w:rPr>
      <w:b/>
      <w:bCs/>
      <w:sz w:val="20"/>
      <w:szCs w:val="20"/>
    </w:rPr>
  </w:style>
  <w:style w:type="paragraph" w:styleId="BalloonText">
    <w:name w:val="Balloon Text"/>
    <w:basedOn w:val="Normal"/>
    <w:link w:val="BalloonTextChar"/>
    <w:uiPriority w:val="99"/>
    <w:semiHidden/>
    <w:unhideWhenUsed/>
    <w:rsid w:val="003B29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969"/>
    <w:rPr>
      <w:rFonts w:ascii="Segoe UI" w:hAnsi="Segoe UI" w:cs="Segoe UI"/>
      <w:sz w:val="18"/>
      <w:szCs w:val="18"/>
    </w:rPr>
  </w:style>
  <w:style w:type="table" w:styleId="TableGrid">
    <w:name w:val="Table Grid"/>
    <w:basedOn w:val="TableNormal"/>
    <w:uiPriority w:val="39"/>
    <w:rsid w:val="00FC2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0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56864">
      <w:bodyDiv w:val="1"/>
      <w:marLeft w:val="0"/>
      <w:marRight w:val="0"/>
      <w:marTop w:val="0"/>
      <w:marBottom w:val="0"/>
      <w:divBdr>
        <w:top w:val="none" w:sz="0" w:space="0" w:color="auto"/>
        <w:left w:val="none" w:sz="0" w:space="0" w:color="auto"/>
        <w:bottom w:val="none" w:sz="0" w:space="0" w:color="auto"/>
        <w:right w:val="none" w:sz="0" w:space="0" w:color="auto"/>
      </w:divBdr>
      <w:divsChild>
        <w:div w:id="186994103">
          <w:marLeft w:val="0"/>
          <w:marRight w:val="0"/>
          <w:marTop w:val="0"/>
          <w:marBottom w:val="0"/>
          <w:divBdr>
            <w:top w:val="none" w:sz="0" w:space="0" w:color="auto"/>
            <w:left w:val="none" w:sz="0" w:space="0" w:color="auto"/>
            <w:bottom w:val="none" w:sz="0" w:space="0" w:color="auto"/>
            <w:right w:val="none" w:sz="0" w:space="0" w:color="auto"/>
          </w:divBdr>
          <w:divsChild>
            <w:div w:id="136649894">
              <w:marLeft w:val="0"/>
              <w:marRight w:val="0"/>
              <w:marTop w:val="0"/>
              <w:marBottom w:val="0"/>
              <w:divBdr>
                <w:top w:val="none" w:sz="0" w:space="0" w:color="auto"/>
                <w:left w:val="none" w:sz="0" w:space="0" w:color="auto"/>
                <w:bottom w:val="none" w:sz="0" w:space="0" w:color="auto"/>
                <w:right w:val="none" w:sz="0" w:space="0" w:color="auto"/>
              </w:divBdr>
              <w:divsChild>
                <w:div w:id="1656029388">
                  <w:marLeft w:val="0"/>
                  <w:marRight w:val="0"/>
                  <w:marTop w:val="0"/>
                  <w:marBottom w:val="0"/>
                  <w:divBdr>
                    <w:top w:val="none" w:sz="0" w:space="0" w:color="auto"/>
                    <w:left w:val="none" w:sz="0" w:space="0" w:color="auto"/>
                    <w:bottom w:val="none" w:sz="0" w:space="0" w:color="auto"/>
                    <w:right w:val="none" w:sz="0" w:space="0" w:color="auto"/>
                  </w:divBdr>
                </w:div>
              </w:divsChild>
            </w:div>
            <w:div w:id="595092337">
              <w:marLeft w:val="0"/>
              <w:marRight w:val="0"/>
              <w:marTop w:val="0"/>
              <w:marBottom w:val="0"/>
              <w:divBdr>
                <w:top w:val="none" w:sz="0" w:space="0" w:color="auto"/>
                <w:left w:val="none" w:sz="0" w:space="0" w:color="auto"/>
                <w:bottom w:val="none" w:sz="0" w:space="0" w:color="auto"/>
                <w:right w:val="none" w:sz="0" w:space="0" w:color="auto"/>
              </w:divBdr>
              <w:divsChild>
                <w:div w:id="262959107">
                  <w:marLeft w:val="0"/>
                  <w:marRight w:val="0"/>
                  <w:marTop w:val="0"/>
                  <w:marBottom w:val="0"/>
                  <w:divBdr>
                    <w:top w:val="none" w:sz="0" w:space="0" w:color="auto"/>
                    <w:left w:val="none" w:sz="0" w:space="0" w:color="auto"/>
                    <w:bottom w:val="none" w:sz="0" w:space="0" w:color="auto"/>
                    <w:right w:val="none" w:sz="0" w:space="0" w:color="auto"/>
                  </w:divBdr>
                </w:div>
                <w:div w:id="1057819880">
                  <w:marLeft w:val="0"/>
                  <w:marRight w:val="0"/>
                  <w:marTop w:val="0"/>
                  <w:marBottom w:val="0"/>
                  <w:divBdr>
                    <w:top w:val="none" w:sz="0" w:space="0" w:color="auto"/>
                    <w:left w:val="none" w:sz="0" w:space="0" w:color="auto"/>
                    <w:bottom w:val="none" w:sz="0" w:space="0" w:color="auto"/>
                    <w:right w:val="none" w:sz="0" w:space="0" w:color="auto"/>
                  </w:divBdr>
                </w:div>
              </w:divsChild>
            </w:div>
            <w:div w:id="838545498">
              <w:marLeft w:val="0"/>
              <w:marRight w:val="0"/>
              <w:marTop w:val="0"/>
              <w:marBottom w:val="0"/>
              <w:divBdr>
                <w:top w:val="none" w:sz="0" w:space="0" w:color="auto"/>
                <w:left w:val="none" w:sz="0" w:space="0" w:color="auto"/>
                <w:bottom w:val="none" w:sz="0" w:space="0" w:color="auto"/>
                <w:right w:val="none" w:sz="0" w:space="0" w:color="auto"/>
              </w:divBdr>
              <w:divsChild>
                <w:div w:id="207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21985">
      <w:bodyDiv w:val="1"/>
      <w:marLeft w:val="0"/>
      <w:marRight w:val="0"/>
      <w:marTop w:val="0"/>
      <w:marBottom w:val="0"/>
      <w:divBdr>
        <w:top w:val="none" w:sz="0" w:space="0" w:color="auto"/>
        <w:left w:val="none" w:sz="0" w:space="0" w:color="auto"/>
        <w:bottom w:val="none" w:sz="0" w:space="0" w:color="auto"/>
        <w:right w:val="none" w:sz="0" w:space="0" w:color="auto"/>
      </w:divBdr>
      <w:divsChild>
        <w:div w:id="973752049">
          <w:marLeft w:val="0"/>
          <w:marRight w:val="0"/>
          <w:marTop w:val="0"/>
          <w:marBottom w:val="0"/>
          <w:divBdr>
            <w:top w:val="none" w:sz="0" w:space="0" w:color="auto"/>
            <w:left w:val="none" w:sz="0" w:space="0" w:color="auto"/>
            <w:bottom w:val="none" w:sz="0" w:space="0" w:color="auto"/>
            <w:right w:val="none" w:sz="0" w:space="0" w:color="auto"/>
          </w:divBdr>
          <w:divsChild>
            <w:div w:id="173034437">
              <w:marLeft w:val="0"/>
              <w:marRight w:val="0"/>
              <w:marTop w:val="0"/>
              <w:marBottom w:val="0"/>
              <w:divBdr>
                <w:top w:val="none" w:sz="0" w:space="0" w:color="auto"/>
                <w:left w:val="none" w:sz="0" w:space="0" w:color="auto"/>
                <w:bottom w:val="none" w:sz="0" w:space="0" w:color="auto"/>
                <w:right w:val="none" w:sz="0" w:space="0" w:color="auto"/>
              </w:divBdr>
              <w:divsChild>
                <w:div w:id="1075669600">
                  <w:marLeft w:val="0"/>
                  <w:marRight w:val="0"/>
                  <w:marTop w:val="0"/>
                  <w:marBottom w:val="0"/>
                  <w:divBdr>
                    <w:top w:val="none" w:sz="0" w:space="0" w:color="auto"/>
                    <w:left w:val="none" w:sz="0" w:space="0" w:color="auto"/>
                    <w:bottom w:val="none" w:sz="0" w:space="0" w:color="auto"/>
                    <w:right w:val="none" w:sz="0" w:space="0" w:color="auto"/>
                  </w:divBdr>
                </w:div>
              </w:divsChild>
            </w:div>
            <w:div w:id="1150559112">
              <w:marLeft w:val="0"/>
              <w:marRight w:val="0"/>
              <w:marTop w:val="0"/>
              <w:marBottom w:val="0"/>
              <w:divBdr>
                <w:top w:val="none" w:sz="0" w:space="0" w:color="auto"/>
                <w:left w:val="none" w:sz="0" w:space="0" w:color="auto"/>
                <w:bottom w:val="none" w:sz="0" w:space="0" w:color="auto"/>
                <w:right w:val="none" w:sz="0" w:space="0" w:color="auto"/>
              </w:divBdr>
              <w:divsChild>
                <w:div w:id="1376933095">
                  <w:marLeft w:val="0"/>
                  <w:marRight w:val="0"/>
                  <w:marTop w:val="0"/>
                  <w:marBottom w:val="0"/>
                  <w:divBdr>
                    <w:top w:val="none" w:sz="0" w:space="0" w:color="auto"/>
                    <w:left w:val="none" w:sz="0" w:space="0" w:color="auto"/>
                    <w:bottom w:val="none" w:sz="0" w:space="0" w:color="auto"/>
                    <w:right w:val="none" w:sz="0" w:space="0" w:color="auto"/>
                  </w:divBdr>
                </w:div>
                <w:div w:id="1412891193">
                  <w:marLeft w:val="0"/>
                  <w:marRight w:val="0"/>
                  <w:marTop w:val="0"/>
                  <w:marBottom w:val="0"/>
                  <w:divBdr>
                    <w:top w:val="none" w:sz="0" w:space="0" w:color="auto"/>
                    <w:left w:val="none" w:sz="0" w:space="0" w:color="auto"/>
                    <w:bottom w:val="none" w:sz="0" w:space="0" w:color="auto"/>
                    <w:right w:val="none" w:sz="0" w:space="0" w:color="auto"/>
                  </w:divBdr>
                </w:div>
              </w:divsChild>
            </w:div>
            <w:div w:id="117913890">
              <w:marLeft w:val="0"/>
              <w:marRight w:val="0"/>
              <w:marTop w:val="0"/>
              <w:marBottom w:val="0"/>
              <w:divBdr>
                <w:top w:val="none" w:sz="0" w:space="0" w:color="auto"/>
                <w:left w:val="none" w:sz="0" w:space="0" w:color="auto"/>
                <w:bottom w:val="none" w:sz="0" w:space="0" w:color="auto"/>
                <w:right w:val="none" w:sz="0" w:space="0" w:color="auto"/>
              </w:divBdr>
              <w:divsChild>
                <w:div w:id="764496798">
                  <w:marLeft w:val="0"/>
                  <w:marRight w:val="0"/>
                  <w:marTop w:val="0"/>
                  <w:marBottom w:val="0"/>
                  <w:divBdr>
                    <w:top w:val="none" w:sz="0" w:space="0" w:color="auto"/>
                    <w:left w:val="none" w:sz="0" w:space="0" w:color="auto"/>
                    <w:bottom w:val="none" w:sz="0" w:space="0" w:color="auto"/>
                    <w:right w:val="none" w:sz="0" w:space="0" w:color="auto"/>
                  </w:divBdr>
                </w:div>
              </w:divsChild>
            </w:div>
            <w:div w:id="536283305">
              <w:marLeft w:val="0"/>
              <w:marRight w:val="0"/>
              <w:marTop w:val="0"/>
              <w:marBottom w:val="0"/>
              <w:divBdr>
                <w:top w:val="none" w:sz="0" w:space="0" w:color="auto"/>
                <w:left w:val="none" w:sz="0" w:space="0" w:color="auto"/>
                <w:bottom w:val="none" w:sz="0" w:space="0" w:color="auto"/>
                <w:right w:val="none" w:sz="0" w:space="0" w:color="auto"/>
              </w:divBdr>
              <w:divsChild>
                <w:div w:id="19774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735">
      <w:bodyDiv w:val="1"/>
      <w:marLeft w:val="0"/>
      <w:marRight w:val="0"/>
      <w:marTop w:val="0"/>
      <w:marBottom w:val="0"/>
      <w:divBdr>
        <w:top w:val="none" w:sz="0" w:space="0" w:color="auto"/>
        <w:left w:val="none" w:sz="0" w:space="0" w:color="auto"/>
        <w:bottom w:val="none" w:sz="0" w:space="0" w:color="auto"/>
        <w:right w:val="none" w:sz="0" w:space="0" w:color="auto"/>
      </w:divBdr>
      <w:divsChild>
        <w:div w:id="157039194">
          <w:marLeft w:val="0"/>
          <w:marRight w:val="0"/>
          <w:marTop w:val="0"/>
          <w:marBottom w:val="0"/>
          <w:divBdr>
            <w:top w:val="none" w:sz="0" w:space="0" w:color="auto"/>
            <w:left w:val="none" w:sz="0" w:space="0" w:color="auto"/>
            <w:bottom w:val="none" w:sz="0" w:space="0" w:color="auto"/>
            <w:right w:val="none" w:sz="0" w:space="0" w:color="auto"/>
          </w:divBdr>
          <w:divsChild>
            <w:div w:id="1622612567">
              <w:marLeft w:val="0"/>
              <w:marRight w:val="0"/>
              <w:marTop w:val="0"/>
              <w:marBottom w:val="0"/>
              <w:divBdr>
                <w:top w:val="none" w:sz="0" w:space="0" w:color="auto"/>
                <w:left w:val="none" w:sz="0" w:space="0" w:color="auto"/>
                <w:bottom w:val="none" w:sz="0" w:space="0" w:color="auto"/>
                <w:right w:val="none" w:sz="0" w:space="0" w:color="auto"/>
              </w:divBdr>
              <w:divsChild>
                <w:div w:id="725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875817">
      <w:bodyDiv w:val="1"/>
      <w:marLeft w:val="0"/>
      <w:marRight w:val="0"/>
      <w:marTop w:val="0"/>
      <w:marBottom w:val="0"/>
      <w:divBdr>
        <w:top w:val="none" w:sz="0" w:space="0" w:color="auto"/>
        <w:left w:val="none" w:sz="0" w:space="0" w:color="auto"/>
        <w:bottom w:val="none" w:sz="0" w:space="0" w:color="auto"/>
        <w:right w:val="none" w:sz="0" w:space="0" w:color="auto"/>
      </w:divBdr>
      <w:divsChild>
        <w:div w:id="1847360218">
          <w:marLeft w:val="0"/>
          <w:marRight w:val="0"/>
          <w:marTop w:val="0"/>
          <w:marBottom w:val="0"/>
          <w:divBdr>
            <w:top w:val="none" w:sz="0" w:space="0" w:color="auto"/>
            <w:left w:val="none" w:sz="0" w:space="0" w:color="auto"/>
            <w:bottom w:val="none" w:sz="0" w:space="0" w:color="auto"/>
            <w:right w:val="none" w:sz="0" w:space="0" w:color="auto"/>
          </w:divBdr>
          <w:divsChild>
            <w:div w:id="1110933229">
              <w:marLeft w:val="0"/>
              <w:marRight w:val="0"/>
              <w:marTop w:val="0"/>
              <w:marBottom w:val="0"/>
              <w:divBdr>
                <w:top w:val="none" w:sz="0" w:space="0" w:color="auto"/>
                <w:left w:val="none" w:sz="0" w:space="0" w:color="auto"/>
                <w:bottom w:val="none" w:sz="0" w:space="0" w:color="auto"/>
                <w:right w:val="none" w:sz="0" w:space="0" w:color="auto"/>
              </w:divBdr>
              <w:divsChild>
                <w:div w:id="3199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Jaggi, Preeti</dc:creator>
  <cp:keywords/>
  <dc:description/>
  <cp:lastModifiedBy>Jaggi, Preeti</cp:lastModifiedBy>
  <cp:revision>3</cp:revision>
  <dcterms:created xsi:type="dcterms:W3CDTF">2024-01-20T15:12:00Z</dcterms:created>
  <dcterms:modified xsi:type="dcterms:W3CDTF">2024-01-20T15:17:00Z</dcterms:modified>
</cp:coreProperties>
</file>